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204E3" w14:textId="47E99013" w:rsidR="00B630EE" w:rsidRPr="00083EC5" w:rsidRDefault="00083EC5" w:rsidP="00083EC5">
      <w:pPr>
        <w:pStyle w:val="LGAItemNoHeading"/>
        <w:spacing w:before="720"/>
        <w:rPr>
          <w:rFonts w:ascii="Arial" w:hAnsi="Arial" w:cs="Arial"/>
          <w:sz w:val="28"/>
          <w:szCs w:val="28"/>
          <w:lang w:val="en-GB"/>
        </w:rPr>
      </w:pPr>
      <w:r>
        <w:rPr>
          <w:rFonts w:ascii="Arial" w:hAnsi="Arial" w:cs="Arial"/>
          <w:sz w:val="28"/>
          <w:szCs w:val="28"/>
          <w:lang w:val="en-GB"/>
        </w:rPr>
        <w:t xml:space="preserve">Environment, Economy, Housing and Transport Board: </w:t>
      </w:r>
      <w:r w:rsidR="00E0799A">
        <w:rPr>
          <w:rFonts w:ascii="Arial" w:hAnsi="Arial" w:cs="Arial"/>
          <w:sz w:val="28"/>
          <w:szCs w:val="28"/>
          <w:lang w:val="en-GB"/>
        </w:rPr>
        <w:t xml:space="preserve"> </w:t>
      </w:r>
      <w:r>
        <w:rPr>
          <w:rFonts w:ascii="Arial" w:hAnsi="Arial" w:cs="Arial"/>
          <w:sz w:val="28"/>
          <w:szCs w:val="28"/>
          <w:lang w:val="en-GB"/>
        </w:rPr>
        <w:t>Review of the</w:t>
      </w:r>
      <w:r w:rsidR="00F7058B">
        <w:rPr>
          <w:rFonts w:ascii="Arial" w:hAnsi="Arial" w:cs="Arial"/>
          <w:sz w:val="28"/>
          <w:szCs w:val="28"/>
        </w:rPr>
        <w:t xml:space="preserve"> Year </w:t>
      </w:r>
    </w:p>
    <w:p w14:paraId="02D204E4" w14:textId="77777777" w:rsidR="00F7058B" w:rsidRPr="00CC687E" w:rsidRDefault="00F7058B" w:rsidP="00A0663E">
      <w:pPr>
        <w:pStyle w:val="MainText"/>
        <w:spacing w:line="240" w:lineRule="auto"/>
        <w:rPr>
          <w:rFonts w:ascii="Arial" w:hAnsi="Arial" w:cs="Arial"/>
          <w:b/>
        </w:rPr>
      </w:pPr>
      <w:r w:rsidRPr="00CC687E">
        <w:rPr>
          <w:rFonts w:ascii="Arial" w:hAnsi="Arial" w:cs="Arial"/>
          <w:b/>
        </w:rPr>
        <w:t xml:space="preserve">Background  </w:t>
      </w:r>
    </w:p>
    <w:p w14:paraId="02D204E5" w14:textId="77777777" w:rsidR="00F7058B" w:rsidRPr="00CC687E" w:rsidRDefault="00F7058B" w:rsidP="00A0663E">
      <w:pPr>
        <w:pStyle w:val="MainText"/>
        <w:spacing w:line="240" w:lineRule="auto"/>
        <w:rPr>
          <w:rFonts w:ascii="Arial" w:hAnsi="Arial" w:cs="Arial"/>
        </w:rPr>
      </w:pPr>
    </w:p>
    <w:p w14:paraId="02D204E6" w14:textId="77777777" w:rsidR="00B630EE" w:rsidRPr="00CC687E" w:rsidRDefault="00F7058B" w:rsidP="00A0663E">
      <w:pPr>
        <w:pStyle w:val="ListParagraph"/>
        <w:numPr>
          <w:ilvl w:val="0"/>
          <w:numId w:val="13"/>
        </w:numPr>
        <w:spacing w:after="0" w:line="240" w:lineRule="auto"/>
        <w:textAlignment w:val="top"/>
        <w:rPr>
          <w:rFonts w:ascii="Arial" w:hAnsi="Arial" w:cs="Arial"/>
          <w:color w:val="000000"/>
          <w:lang w:val="en"/>
        </w:rPr>
      </w:pPr>
      <w:r w:rsidRPr="00CC687E">
        <w:rPr>
          <w:rFonts w:ascii="Arial" w:hAnsi="Arial" w:cs="Arial"/>
          <w:color w:val="000000"/>
          <w:lang w:val="en"/>
        </w:rPr>
        <w:t xml:space="preserve">The Environment, Economy, Housing and Transport Board provides strategic oversight of the LGA's policy, regulatory and improvement activity in relation to the economy and environment, including transport, employment and skills, economic development and business support, housing, planning, waste and climate change, in line with the LGA priorities and any specific regulatory and LGA European lobbying priorities as they relate to this activity. </w:t>
      </w:r>
    </w:p>
    <w:p w14:paraId="02D204E7" w14:textId="77777777" w:rsidR="00B630EE" w:rsidRPr="00CC687E" w:rsidRDefault="00B630EE" w:rsidP="00B630EE">
      <w:pPr>
        <w:pStyle w:val="ListParagraph"/>
        <w:spacing w:after="0" w:line="240" w:lineRule="auto"/>
        <w:textAlignment w:val="top"/>
        <w:rPr>
          <w:rFonts w:ascii="Arial" w:hAnsi="Arial" w:cs="Arial"/>
          <w:color w:val="000000"/>
          <w:lang w:val="en"/>
        </w:rPr>
      </w:pPr>
    </w:p>
    <w:p w14:paraId="02D204E8" w14:textId="77777777" w:rsidR="00F7058B" w:rsidRPr="00CC687E" w:rsidRDefault="00F7058B" w:rsidP="00A0663E">
      <w:pPr>
        <w:pStyle w:val="ListParagraph"/>
        <w:numPr>
          <w:ilvl w:val="0"/>
          <w:numId w:val="13"/>
        </w:numPr>
        <w:spacing w:after="0" w:line="240" w:lineRule="auto"/>
        <w:textAlignment w:val="top"/>
        <w:rPr>
          <w:rFonts w:ascii="Arial" w:hAnsi="Arial" w:cs="Arial"/>
          <w:color w:val="000000"/>
          <w:lang w:val="en"/>
        </w:rPr>
      </w:pPr>
      <w:r w:rsidRPr="00CC687E">
        <w:rPr>
          <w:rFonts w:ascii="Arial" w:hAnsi="Arial" w:cs="Arial"/>
          <w:color w:val="000000"/>
          <w:lang w:val="en"/>
        </w:rPr>
        <w:t xml:space="preserve">The Board was formed in 2014 by </w:t>
      </w:r>
      <w:r w:rsidRPr="00CC687E">
        <w:rPr>
          <w:rFonts w:ascii="Arial" w:hAnsi="Arial" w:cs="Arial"/>
        </w:rPr>
        <w:t xml:space="preserve">combining the remits of the former Economy &amp; Transport and Environment &amp; Housing Boards.  </w:t>
      </w:r>
    </w:p>
    <w:p w14:paraId="02D204E9" w14:textId="77777777" w:rsidR="00B630EE" w:rsidRPr="00CC687E" w:rsidRDefault="00B630EE" w:rsidP="00B630EE">
      <w:pPr>
        <w:pStyle w:val="ListParagraph"/>
        <w:rPr>
          <w:rFonts w:ascii="Arial" w:hAnsi="Arial" w:cs="Arial"/>
          <w:color w:val="000000"/>
          <w:lang w:val="en"/>
        </w:rPr>
      </w:pPr>
    </w:p>
    <w:p w14:paraId="02D204EA" w14:textId="77777777" w:rsidR="00022FD4" w:rsidRPr="00CC687E" w:rsidRDefault="00B630EE" w:rsidP="00022FD4">
      <w:pPr>
        <w:pStyle w:val="ListParagraph"/>
        <w:numPr>
          <w:ilvl w:val="0"/>
          <w:numId w:val="13"/>
        </w:numPr>
        <w:spacing w:after="0" w:line="240" w:lineRule="auto"/>
        <w:textAlignment w:val="top"/>
        <w:rPr>
          <w:rFonts w:ascii="Arial" w:hAnsi="Arial" w:cs="Arial"/>
          <w:color w:val="000000"/>
          <w:lang w:val="en"/>
        </w:rPr>
      </w:pPr>
      <w:r w:rsidRPr="00CC687E">
        <w:rPr>
          <w:rFonts w:ascii="Arial" w:hAnsi="Arial" w:cs="Arial"/>
          <w:color w:val="000000"/>
          <w:lang w:val="en"/>
        </w:rPr>
        <w:t>At its first meeting, the Board took a decision to develop Task and Finish Groups to ensure that there was wider involvement in</w:t>
      </w:r>
      <w:r w:rsidR="00022FD4" w:rsidRPr="00CC687E">
        <w:rPr>
          <w:rFonts w:ascii="Arial" w:hAnsi="Arial" w:cs="Arial"/>
          <w:color w:val="000000"/>
          <w:lang w:val="en"/>
        </w:rPr>
        <w:t xml:space="preserve"> the work of the Board that the </w:t>
      </w:r>
      <w:r w:rsidRPr="00CC687E">
        <w:rPr>
          <w:rFonts w:ascii="Arial" w:hAnsi="Arial" w:cs="Arial"/>
          <w:color w:val="000000"/>
          <w:lang w:val="en"/>
        </w:rPr>
        <w:t>four meetings per year would allow.  Four</w:t>
      </w:r>
      <w:r w:rsidR="00022FD4" w:rsidRPr="00CC687E">
        <w:rPr>
          <w:rFonts w:ascii="Arial" w:hAnsi="Arial" w:cs="Arial"/>
          <w:color w:val="000000"/>
          <w:lang w:val="en"/>
        </w:rPr>
        <w:t xml:space="preserve"> T+F G</w:t>
      </w:r>
      <w:r w:rsidRPr="00CC687E">
        <w:rPr>
          <w:rFonts w:ascii="Arial" w:hAnsi="Arial" w:cs="Arial"/>
          <w:color w:val="000000"/>
          <w:lang w:val="en"/>
        </w:rPr>
        <w:t>roups have been running and their work is detailed in this report.</w:t>
      </w:r>
    </w:p>
    <w:p w14:paraId="02D204EB" w14:textId="77777777" w:rsidR="00CC687E" w:rsidRPr="00CC687E" w:rsidRDefault="00CC687E" w:rsidP="00022FD4">
      <w:pPr>
        <w:textAlignment w:val="top"/>
        <w:rPr>
          <w:rFonts w:ascii="Arial" w:eastAsia="Calibri" w:hAnsi="Arial" w:cs="Arial"/>
          <w:color w:val="000000"/>
          <w:szCs w:val="22"/>
          <w:lang w:val="en" w:eastAsia="en-US"/>
        </w:rPr>
      </w:pPr>
    </w:p>
    <w:p w14:paraId="02D204EC" w14:textId="77777777" w:rsidR="00022FD4" w:rsidRPr="00CC687E" w:rsidRDefault="00022FD4" w:rsidP="00022FD4">
      <w:pPr>
        <w:textAlignment w:val="top"/>
        <w:rPr>
          <w:rFonts w:ascii="Arial" w:hAnsi="Arial" w:cs="Arial"/>
          <w:b/>
          <w:color w:val="000000"/>
          <w:szCs w:val="22"/>
          <w:lang w:val="en"/>
        </w:rPr>
      </w:pPr>
      <w:r w:rsidRPr="00CC687E">
        <w:rPr>
          <w:rFonts w:ascii="Arial" w:hAnsi="Arial" w:cs="Arial"/>
          <w:b/>
          <w:color w:val="000000"/>
          <w:szCs w:val="22"/>
          <w:lang w:val="en"/>
        </w:rPr>
        <w:t>Economy</w:t>
      </w:r>
    </w:p>
    <w:p w14:paraId="02D204ED" w14:textId="77777777" w:rsidR="00022FD4" w:rsidRPr="00CC687E" w:rsidRDefault="00022FD4" w:rsidP="00022FD4">
      <w:pPr>
        <w:pStyle w:val="ListParagraph"/>
        <w:rPr>
          <w:rFonts w:ascii="Arial" w:hAnsi="Arial" w:cs="Arial"/>
        </w:rPr>
      </w:pPr>
    </w:p>
    <w:p w14:paraId="02D204EE" w14:textId="77777777" w:rsidR="00022FD4" w:rsidRPr="00CC687E" w:rsidRDefault="00022FD4" w:rsidP="00022FD4">
      <w:pPr>
        <w:pStyle w:val="ListParagraph"/>
        <w:numPr>
          <w:ilvl w:val="0"/>
          <w:numId w:val="13"/>
        </w:numPr>
        <w:spacing w:after="0" w:line="240" w:lineRule="auto"/>
        <w:textAlignment w:val="top"/>
        <w:rPr>
          <w:rFonts w:ascii="Arial" w:hAnsi="Arial" w:cs="Arial"/>
          <w:color w:val="000000"/>
          <w:lang w:val="en"/>
        </w:rPr>
      </w:pPr>
      <w:r w:rsidRPr="00CC687E">
        <w:rPr>
          <w:rFonts w:ascii="Arial" w:hAnsi="Arial" w:cs="Arial"/>
          <w:color w:val="000000"/>
          <w:lang w:val="en"/>
        </w:rPr>
        <w:t>The Board commissioned research to examine the success of the Government’s intention to join up local economic funding</w:t>
      </w:r>
      <w:r w:rsidR="00E666E9" w:rsidRPr="00CC687E">
        <w:rPr>
          <w:rFonts w:ascii="Arial" w:hAnsi="Arial" w:cs="Arial"/>
          <w:color w:val="000000"/>
          <w:lang w:val="en"/>
        </w:rPr>
        <w:t xml:space="preserve"> into a single pot.  Whilst there </w:t>
      </w:r>
      <w:r w:rsidRPr="00CC687E">
        <w:rPr>
          <w:rFonts w:ascii="Arial" w:hAnsi="Arial" w:cs="Arial"/>
          <w:color w:val="000000"/>
          <w:lang w:val="en"/>
        </w:rPr>
        <w:t>was recognition that Growth Deals were a good first step in devolving funding, research showed that there continued to be over 120 separate funding streams for growth in local areas.  This research has been presented to civil servants in BIS and other relevant Government departments.  This research has also been used by councils in the development of local deals to provide an evidence base for the joining up of local growth resources.</w:t>
      </w:r>
    </w:p>
    <w:p w14:paraId="02D204EF" w14:textId="77777777" w:rsidR="00022FD4" w:rsidRPr="00CC687E" w:rsidRDefault="00022FD4" w:rsidP="00022FD4">
      <w:pPr>
        <w:textAlignment w:val="top"/>
        <w:rPr>
          <w:rFonts w:ascii="Arial" w:hAnsi="Arial" w:cs="Arial"/>
          <w:color w:val="000000"/>
          <w:szCs w:val="22"/>
          <w:lang w:val="en"/>
        </w:rPr>
      </w:pPr>
    </w:p>
    <w:p w14:paraId="02D204F0" w14:textId="4BA72C23" w:rsidR="00022FD4" w:rsidRPr="00CC687E" w:rsidRDefault="00022FD4" w:rsidP="00A0663E">
      <w:pPr>
        <w:pStyle w:val="ListParagraph"/>
        <w:numPr>
          <w:ilvl w:val="0"/>
          <w:numId w:val="13"/>
        </w:numPr>
        <w:tabs>
          <w:tab w:val="num" w:pos="567"/>
        </w:tabs>
        <w:spacing w:after="0" w:line="240" w:lineRule="auto"/>
        <w:textAlignment w:val="top"/>
        <w:rPr>
          <w:rFonts w:ascii="Arial" w:hAnsi="Arial" w:cs="Arial"/>
        </w:rPr>
      </w:pPr>
      <w:r w:rsidRPr="00CC687E">
        <w:rPr>
          <w:rFonts w:ascii="Arial" w:hAnsi="Arial" w:cs="Arial"/>
        </w:rPr>
        <w:t>The Task and Finish Group on Apprenticeships has worked with a range of partners to explore how councils can support employers to create apprenticeship opportunities for</w:t>
      </w:r>
      <w:r w:rsidR="00E666E9" w:rsidRPr="00CC687E">
        <w:rPr>
          <w:rFonts w:ascii="Arial" w:hAnsi="Arial" w:cs="Arial"/>
        </w:rPr>
        <w:t xml:space="preserve"> young people. The Group worked with </w:t>
      </w:r>
      <w:r w:rsidRPr="00CC687E">
        <w:rPr>
          <w:rFonts w:ascii="Arial" w:hAnsi="Arial" w:cs="Arial"/>
        </w:rPr>
        <w:t>the Federation of Small Businesses, Construction Industry Training Board, Federation of Master Builders, the Engineering Employers Foundation, Association of Colleges, the Department for Business, Innovation and Skills, trainin</w:t>
      </w:r>
      <w:r w:rsidR="00672CA8" w:rsidRPr="00CC687E">
        <w:rPr>
          <w:rFonts w:ascii="Arial" w:hAnsi="Arial" w:cs="Arial"/>
        </w:rPr>
        <w:t>g providers</w:t>
      </w:r>
      <w:r w:rsidR="00E666E9" w:rsidRPr="00CC687E">
        <w:rPr>
          <w:rFonts w:ascii="Arial" w:hAnsi="Arial" w:cs="Arial"/>
        </w:rPr>
        <w:t xml:space="preserve">, and an apprentice.  To finalise its work, the Group </w:t>
      </w:r>
      <w:r w:rsidR="00672CA8" w:rsidRPr="00CC687E">
        <w:rPr>
          <w:rFonts w:ascii="Arial" w:hAnsi="Arial" w:cs="Arial"/>
        </w:rPr>
        <w:t>fed into a report commissioned from IPPR which is detail</w:t>
      </w:r>
      <w:r w:rsidR="00AE72ED">
        <w:rPr>
          <w:rFonts w:ascii="Arial" w:hAnsi="Arial" w:cs="Arial"/>
        </w:rPr>
        <w:t>ed in t</w:t>
      </w:r>
      <w:r w:rsidR="005D4DEA">
        <w:rPr>
          <w:rFonts w:ascii="Arial" w:hAnsi="Arial" w:cs="Arial"/>
        </w:rPr>
        <w:t>he work programme update (Item 6</w:t>
      </w:r>
      <w:r w:rsidR="00AE72ED">
        <w:rPr>
          <w:rFonts w:ascii="Arial" w:hAnsi="Arial" w:cs="Arial"/>
        </w:rPr>
        <w:t>)</w:t>
      </w:r>
      <w:r w:rsidR="00672CA8" w:rsidRPr="00CC687E">
        <w:rPr>
          <w:rFonts w:ascii="Arial" w:hAnsi="Arial" w:cs="Arial"/>
        </w:rPr>
        <w:t xml:space="preserve">.  This </w:t>
      </w:r>
      <w:r w:rsidR="00E666E9" w:rsidRPr="00CC687E">
        <w:rPr>
          <w:rFonts w:ascii="Arial" w:hAnsi="Arial" w:cs="Arial"/>
        </w:rPr>
        <w:t>report</w:t>
      </w:r>
      <w:r w:rsidR="00672CA8" w:rsidRPr="00CC687E">
        <w:rPr>
          <w:rFonts w:ascii="Arial" w:hAnsi="Arial" w:cs="Arial"/>
        </w:rPr>
        <w:t xml:space="preserve"> has recently been published and has been presented to Government to influence the implementation of the manifesto commitments on apprenticeships.</w:t>
      </w:r>
    </w:p>
    <w:p w14:paraId="02D204F1" w14:textId="77777777" w:rsidR="00672CA8" w:rsidRPr="00CC687E" w:rsidRDefault="00672CA8" w:rsidP="00A0663E">
      <w:pPr>
        <w:pStyle w:val="MainText"/>
        <w:tabs>
          <w:tab w:val="num" w:pos="567"/>
        </w:tabs>
        <w:spacing w:line="240" w:lineRule="auto"/>
        <w:rPr>
          <w:rFonts w:ascii="Arial" w:hAnsi="Arial" w:cs="Arial"/>
          <w:lang w:val="en-GB"/>
        </w:rPr>
      </w:pPr>
    </w:p>
    <w:p w14:paraId="02D204F2" w14:textId="77777777" w:rsidR="00F7058B" w:rsidRPr="00CC687E" w:rsidRDefault="0033613D" w:rsidP="00A0663E">
      <w:pPr>
        <w:pStyle w:val="MainText"/>
        <w:spacing w:line="240" w:lineRule="auto"/>
        <w:rPr>
          <w:rFonts w:ascii="Arial" w:hAnsi="Arial" w:cs="Arial"/>
          <w:b/>
        </w:rPr>
      </w:pPr>
      <w:r w:rsidRPr="00CC687E">
        <w:rPr>
          <w:rFonts w:ascii="Arial" w:hAnsi="Arial" w:cs="Arial"/>
          <w:b/>
          <w:lang w:val="en-GB"/>
        </w:rPr>
        <w:t>Environment</w:t>
      </w:r>
    </w:p>
    <w:p w14:paraId="02D204F3" w14:textId="77777777" w:rsidR="00F7058B" w:rsidRPr="00CC687E" w:rsidRDefault="00F7058B" w:rsidP="00A0663E">
      <w:pPr>
        <w:pStyle w:val="MainText"/>
        <w:spacing w:line="240" w:lineRule="auto"/>
        <w:rPr>
          <w:rFonts w:ascii="Arial" w:hAnsi="Arial" w:cs="Arial"/>
          <w:lang w:val="en-GB"/>
        </w:rPr>
      </w:pPr>
    </w:p>
    <w:p w14:paraId="02D204F4" w14:textId="35AB7185" w:rsidR="00B630EE" w:rsidRPr="00CC687E" w:rsidRDefault="00672CA8" w:rsidP="00E07F3E">
      <w:pPr>
        <w:pStyle w:val="MainText"/>
        <w:numPr>
          <w:ilvl w:val="0"/>
          <w:numId w:val="13"/>
        </w:numPr>
        <w:spacing w:line="240" w:lineRule="auto"/>
        <w:rPr>
          <w:rFonts w:ascii="Arial" w:hAnsi="Arial" w:cs="Arial"/>
          <w:lang w:val="en-GB"/>
        </w:rPr>
      </w:pPr>
      <w:r w:rsidRPr="00CC687E">
        <w:rPr>
          <w:rFonts w:ascii="Arial" w:hAnsi="Arial" w:cs="Arial"/>
          <w:lang w:val="en-GB"/>
        </w:rPr>
        <w:t xml:space="preserve">In order to influence future EU regulation on waste and recycling, </w:t>
      </w:r>
      <w:r w:rsidR="00B630EE" w:rsidRPr="00CC687E">
        <w:rPr>
          <w:rFonts w:ascii="Arial" w:hAnsi="Arial" w:cs="Arial"/>
          <w:lang w:val="en-GB"/>
        </w:rPr>
        <w:t xml:space="preserve">the Board </w:t>
      </w:r>
      <w:r w:rsidRPr="00CC687E">
        <w:rPr>
          <w:rFonts w:ascii="Arial" w:hAnsi="Arial" w:cs="Arial"/>
          <w:lang w:val="en-GB"/>
        </w:rPr>
        <w:t xml:space="preserve">has been working in Brussels to ensure that local government’s views are considered early as the Commission consider the next generation of waste regulation.  A separate report </w:t>
      </w:r>
      <w:r w:rsidRPr="00CC687E">
        <w:rPr>
          <w:rFonts w:ascii="Arial" w:hAnsi="Arial" w:cs="Arial"/>
          <w:lang w:val="en-GB"/>
        </w:rPr>
        <w:lastRenderedPageBreak/>
        <w:t>on this agenda details this work.</w:t>
      </w:r>
      <w:r w:rsidR="00B630EE" w:rsidRPr="00CC687E">
        <w:rPr>
          <w:rFonts w:ascii="Arial" w:hAnsi="Arial" w:cs="Arial"/>
          <w:lang w:val="en-GB"/>
        </w:rPr>
        <w:t xml:space="preserve"> Further lobbying on these issues will continue, with consultation on new proposals in the near future. </w:t>
      </w:r>
    </w:p>
    <w:p w14:paraId="02D204F5" w14:textId="77777777" w:rsidR="00B630EE" w:rsidRPr="00CC687E" w:rsidRDefault="00B630EE" w:rsidP="00B630EE">
      <w:pPr>
        <w:pStyle w:val="MainText"/>
        <w:spacing w:line="240" w:lineRule="auto"/>
        <w:ind w:left="360"/>
        <w:rPr>
          <w:rFonts w:ascii="Arial" w:hAnsi="Arial" w:cs="Arial"/>
          <w:lang w:val="en-GB"/>
        </w:rPr>
      </w:pPr>
    </w:p>
    <w:p w14:paraId="02D204F6" w14:textId="77777777" w:rsidR="00BA73FE" w:rsidRPr="00CC687E" w:rsidRDefault="00BA73FE" w:rsidP="00E07F3E">
      <w:pPr>
        <w:pStyle w:val="ListParagraph"/>
        <w:numPr>
          <w:ilvl w:val="0"/>
          <w:numId w:val="13"/>
        </w:numPr>
        <w:spacing w:after="0" w:line="240" w:lineRule="auto"/>
        <w:rPr>
          <w:rFonts w:ascii="Arial" w:hAnsi="Arial" w:cs="Arial"/>
        </w:rPr>
      </w:pPr>
      <w:r w:rsidRPr="00CC687E">
        <w:rPr>
          <w:rFonts w:ascii="Arial" w:hAnsi="Arial" w:cs="Arial"/>
        </w:rPr>
        <w:t xml:space="preserve">The Task and Finish Group on Energy has led a project to highlight councils work on developing renewable and low carbon energy schemes and explore and promote opportunities for councils to secure revenue and community benefit from renewable energy, including a case study library to promote action taken by councils and a report examining the potential for councils to reduce their energy costs through energy efficiency and generation and what is needed to enable councils to realise the benefits. Proposals for the project, to be delivered in conjunction with the Innovation and Improvement Board, will be completed by </w:t>
      </w:r>
      <w:proofErr w:type="gramStart"/>
      <w:r w:rsidRPr="00CC687E">
        <w:rPr>
          <w:rFonts w:ascii="Arial" w:hAnsi="Arial" w:cs="Arial"/>
        </w:rPr>
        <w:t>Summer</w:t>
      </w:r>
      <w:proofErr w:type="gramEnd"/>
      <w:r w:rsidRPr="00CC687E">
        <w:rPr>
          <w:rFonts w:ascii="Arial" w:hAnsi="Arial" w:cs="Arial"/>
        </w:rPr>
        <w:t xml:space="preserve"> 2015.  </w:t>
      </w:r>
    </w:p>
    <w:p w14:paraId="02D204F7" w14:textId="77777777" w:rsidR="004378E2" w:rsidRPr="00CC687E" w:rsidRDefault="004378E2" w:rsidP="00A0663E">
      <w:pPr>
        <w:pStyle w:val="MainText"/>
        <w:spacing w:line="240" w:lineRule="auto"/>
        <w:rPr>
          <w:rFonts w:ascii="Arial" w:hAnsi="Arial" w:cs="Arial"/>
          <w:lang w:val="en-GB"/>
        </w:rPr>
      </w:pPr>
    </w:p>
    <w:p w14:paraId="02D204F8" w14:textId="77777777" w:rsidR="00BD7434" w:rsidRPr="00CC687E" w:rsidRDefault="00BD7434" w:rsidP="00E07F3E">
      <w:pPr>
        <w:pStyle w:val="ListParagraph"/>
        <w:numPr>
          <w:ilvl w:val="0"/>
          <w:numId w:val="13"/>
        </w:numPr>
        <w:spacing w:after="0" w:line="240" w:lineRule="auto"/>
        <w:rPr>
          <w:rFonts w:ascii="Arial" w:hAnsi="Arial" w:cs="Arial"/>
        </w:rPr>
      </w:pPr>
      <w:r w:rsidRPr="00CC687E">
        <w:rPr>
          <w:rFonts w:ascii="Arial" w:hAnsi="Arial" w:cs="Arial"/>
        </w:rPr>
        <w:t xml:space="preserve">Further funding for the Climate Local programme was secured from the EA/Defra to continue the full time secondee arrangements into 2015/16. Currently, 102 councils are signed up to the programme, with a wider network of 440 members. </w:t>
      </w:r>
    </w:p>
    <w:p w14:paraId="02D204F9" w14:textId="77777777" w:rsidR="00B630EE" w:rsidRPr="00CC687E" w:rsidRDefault="00B630EE" w:rsidP="00B630EE">
      <w:pPr>
        <w:pStyle w:val="MainText"/>
        <w:spacing w:line="240" w:lineRule="auto"/>
        <w:rPr>
          <w:rFonts w:ascii="Arial" w:hAnsi="Arial" w:cs="Arial"/>
          <w:lang w:val="en-GB"/>
        </w:rPr>
      </w:pPr>
    </w:p>
    <w:p w14:paraId="02D204FA" w14:textId="77777777" w:rsidR="00B630EE" w:rsidRPr="00CC687E" w:rsidRDefault="00B630EE" w:rsidP="00E07F3E">
      <w:pPr>
        <w:pStyle w:val="LGASubHead1"/>
        <w:numPr>
          <w:ilvl w:val="0"/>
          <w:numId w:val="13"/>
        </w:numPr>
        <w:spacing w:after="0"/>
        <w:rPr>
          <w:rFonts w:ascii="Arial" w:hAnsi="Arial" w:cs="Arial"/>
          <w:b w:val="0"/>
          <w:sz w:val="22"/>
          <w:lang w:val="en-GB"/>
        </w:rPr>
      </w:pPr>
      <w:r w:rsidRPr="00CC687E">
        <w:rPr>
          <w:rFonts w:ascii="Arial" w:eastAsia="Times New Roman" w:hAnsi="Arial" w:cs="Arial"/>
          <w:b w:val="0"/>
          <w:sz w:val="22"/>
          <w:lang w:val="en-GB" w:eastAsia="en-GB"/>
        </w:rPr>
        <w:t xml:space="preserve">New </w:t>
      </w:r>
      <w:hyperlink r:id="rId12" w:tgtFrame="_new" w:history="1">
        <w:r w:rsidRPr="00CC687E">
          <w:rPr>
            <w:rFonts w:ascii="Arial" w:eastAsia="Times New Roman" w:hAnsi="Arial" w:cs="Arial"/>
            <w:b w:val="0"/>
            <w:bCs/>
            <w:sz w:val="22"/>
            <w:lang w:val="en-GB" w:eastAsia="en-GB"/>
          </w:rPr>
          <w:t>national policy</w:t>
        </w:r>
      </w:hyperlink>
      <w:r w:rsidRPr="00CC687E">
        <w:rPr>
          <w:rFonts w:ascii="Arial" w:eastAsia="Times New Roman" w:hAnsi="Arial" w:cs="Arial"/>
          <w:b w:val="0"/>
          <w:sz w:val="22"/>
          <w:lang w:val="en-GB" w:eastAsia="en-GB"/>
        </w:rPr>
        <w:t xml:space="preserve"> on Sustainable Drainage Systems (SuDS) took effect from 6 April 2015, with Lead Local Flood Authorities (LLFAs) becoming statutory consultees to provide technical advice on surface water drainage and SuDS. The Board has lobbied against new unfunded duties on councils, securing £10 million in upfront funding.</w:t>
      </w:r>
    </w:p>
    <w:p w14:paraId="02D204FB" w14:textId="77777777" w:rsidR="004378E2" w:rsidRPr="00CC687E" w:rsidRDefault="004378E2" w:rsidP="00A0663E">
      <w:pPr>
        <w:pStyle w:val="MainText"/>
        <w:spacing w:line="240" w:lineRule="auto"/>
        <w:rPr>
          <w:rFonts w:ascii="Arial" w:hAnsi="Arial" w:cs="Arial"/>
          <w:lang w:val="en-GB"/>
        </w:rPr>
      </w:pPr>
    </w:p>
    <w:p w14:paraId="02D204FC" w14:textId="77777777" w:rsidR="00F7058B" w:rsidRPr="00CC687E" w:rsidRDefault="0033613D" w:rsidP="00A0663E">
      <w:pPr>
        <w:rPr>
          <w:rFonts w:ascii="Arial" w:hAnsi="Arial" w:cs="Arial"/>
          <w:b/>
          <w:szCs w:val="22"/>
        </w:rPr>
      </w:pPr>
      <w:r w:rsidRPr="00CC687E">
        <w:rPr>
          <w:rFonts w:ascii="Arial" w:hAnsi="Arial" w:cs="Arial"/>
          <w:b/>
          <w:szCs w:val="22"/>
        </w:rPr>
        <w:t>Housing</w:t>
      </w:r>
    </w:p>
    <w:p w14:paraId="02D204FD" w14:textId="77777777" w:rsidR="00F66C2D" w:rsidRPr="00CC687E" w:rsidRDefault="00F66C2D" w:rsidP="00A0663E">
      <w:pPr>
        <w:pStyle w:val="MainText"/>
        <w:spacing w:line="240" w:lineRule="auto"/>
        <w:rPr>
          <w:rFonts w:ascii="Arial" w:hAnsi="Arial" w:cs="Arial"/>
          <w:b/>
          <w:lang w:val="en-GB"/>
        </w:rPr>
      </w:pPr>
    </w:p>
    <w:p w14:paraId="02D204FE" w14:textId="77777777" w:rsidR="00672CA8" w:rsidRPr="00CC687E" w:rsidRDefault="00672CA8" w:rsidP="00E07F3E">
      <w:pPr>
        <w:pStyle w:val="LGASubHead1"/>
        <w:numPr>
          <w:ilvl w:val="0"/>
          <w:numId w:val="13"/>
        </w:numPr>
        <w:spacing w:after="0"/>
        <w:rPr>
          <w:rFonts w:ascii="Arial" w:hAnsi="Arial" w:cs="Arial"/>
          <w:b w:val="0"/>
          <w:sz w:val="22"/>
          <w:lang w:val="en"/>
        </w:rPr>
      </w:pPr>
      <w:r w:rsidRPr="00CC687E">
        <w:rPr>
          <w:rFonts w:ascii="Arial" w:hAnsi="Arial" w:cs="Arial"/>
          <w:b w:val="0"/>
          <w:sz w:val="22"/>
          <w:lang w:val="en"/>
        </w:rPr>
        <w:t xml:space="preserve">As part of its work on influencing manifestoes of all parties, </w:t>
      </w:r>
      <w:r w:rsidR="00E57181" w:rsidRPr="00CC687E">
        <w:rPr>
          <w:rFonts w:ascii="Arial" w:hAnsi="Arial" w:cs="Arial"/>
          <w:b w:val="0"/>
          <w:sz w:val="22"/>
          <w:lang w:val="en"/>
        </w:rPr>
        <w:t xml:space="preserve">Sir Michael Lyons attended the EEHT Board in December 2014 to discuss his housing review. His report contained proposals on planning for housing, large scale development, community engagement, quality and sustainability. </w:t>
      </w:r>
    </w:p>
    <w:p w14:paraId="02D204FF" w14:textId="77777777" w:rsidR="00E666E9" w:rsidRPr="00CC687E" w:rsidRDefault="00E666E9" w:rsidP="00E666E9">
      <w:pPr>
        <w:pStyle w:val="MainText"/>
        <w:rPr>
          <w:rFonts w:ascii="Arial" w:hAnsi="Arial" w:cs="Arial"/>
          <w:lang w:val="en"/>
        </w:rPr>
      </w:pPr>
    </w:p>
    <w:p w14:paraId="02D20500" w14:textId="0D2ED0E3" w:rsidR="00E666E9" w:rsidRPr="00CC687E" w:rsidRDefault="00E666E9" w:rsidP="00E07F3E">
      <w:pPr>
        <w:pStyle w:val="MainText"/>
        <w:numPr>
          <w:ilvl w:val="0"/>
          <w:numId w:val="13"/>
        </w:numPr>
        <w:rPr>
          <w:rFonts w:ascii="Arial" w:hAnsi="Arial" w:cs="Arial"/>
          <w:lang w:val="en"/>
        </w:rPr>
      </w:pPr>
      <w:r w:rsidRPr="00CC687E">
        <w:rPr>
          <w:rFonts w:ascii="Arial" w:hAnsi="Arial" w:cs="Arial"/>
          <w:lang w:val="en"/>
        </w:rPr>
        <w:t>The work on housing is detailed in a full report to this Board meeting</w:t>
      </w:r>
      <w:r w:rsidR="00E07F3E">
        <w:rPr>
          <w:rFonts w:ascii="Arial" w:hAnsi="Arial" w:cs="Arial"/>
          <w:lang w:val="en"/>
        </w:rPr>
        <w:t>.</w:t>
      </w:r>
    </w:p>
    <w:p w14:paraId="02D20501" w14:textId="77777777" w:rsidR="00F66C2D" w:rsidRPr="00CC687E" w:rsidRDefault="00F66C2D" w:rsidP="00A0663E">
      <w:pPr>
        <w:pStyle w:val="MainText"/>
        <w:spacing w:line="240" w:lineRule="auto"/>
        <w:rPr>
          <w:rFonts w:ascii="Arial" w:hAnsi="Arial" w:cs="Arial"/>
          <w:b/>
          <w:lang w:val="en-GB"/>
        </w:rPr>
      </w:pPr>
    </w:p>
    <w:p w14:paraId="02D20502" w14:textId="77777777" w:rsidR="00672CA8" w:rsidRPr="00CC687E" w:rsidRDefault="0033613D" w:rsidP="00CC687E">
      <w:pPr>
        <w:pStyle w:val="MainText"/>
        <w:spacing w:line="240" w:lineRule="auto"/>
        <w:rPr>
          <w:rFonts w:ascii="Arial" w:hAnsi="Arial" w:cs="Arial"/>
          <w:b/>
          <w:lang w:val="en-GB"/>
        </w:rPr>
      </w:pPr>
      <w:r w:rsidRPr="00CC687E">
        <w:rPr>
          <w:rFonts w:ascii="Arial" w:hAnsi="Arial" w:cs="Arial"/>
          <w:b/>
          <w:lang w:val="en-GB"/>
        </w:rPr>
        <w:t>Transport</w:t>
      </w:r>
    </w:p>
    <w:p w14:paraId="02D20503" w14:textId="77777777" w:rsidR="00672CA8" w:rsidRPr="00CC687E" w:rsidRDefault="00672CA8" w:rsidP="00672CA8">
      <w:pPr>
        <w:pStyle w:val="LGASubHead1"/>
        <w:spacing w:after="0"/>
        <w:rPr>
          <w:rFonts w:ascii="Arial" w:hAnsi="Arial" w:cs="Arial"/>
          <w:b w:val="0"/>
          <w:sz w:val="22"/>
          <w:lang w:val="en-GB"/>
        </w:rPr>
      </w:pPr>
    </w:p>
    <w:p w14:paraId="02D20504" w14:textId="77777777" w:rsidR="00F7058B" w:rsidRPr="00CC687E" w:rsidRDefault="008A0F79" w:rsidP="00E07F3E">
      <w:pPr>
        <w:pStyle w:val="LGASubHead1"/>
        <w:numPr>
          <w:ilvl w:val="0"/>
          <w:numId w:val="13"/>
        </w:numPr>
        <w:spacing w:after="0"/>
        <w:rPr>
          <w:rFonts w:ascii="Arial" w:hAnsi="Arial" w:cs="Arial"/>
          <w:b w:val="0"/>
          <w:sz w:val="22"/>
          <w:lang w:val="en-GB"/>
        </w:rPr>
      </w:pPr>
      <w:r w:rsidRPr="00CC687E">
        <w:rPr>
          <w:rFonts w:ascii="Arial" w:hAnsi="Arial" w:cs="Arial"/>
          <w:b w:val="0"/>
          <w:sz w:val="22"/>
        </w:rPr>
        <w:t>The Infrastructure Bill became law on 12 February</w:t>
      </w:r>
      <w:r w:rsidRPr="00CC687E">
        <w:rPr>
          <w:rFonts w:ascii="Arial" w:hAnsi="Arial" w:cs="Arial"/>
          <w:b w:val="0"/>
          <w:sz w:val="22"/>
          <w:lang w:val="en-GB"/>
        </w:rPr>
        <w:t xml:space="preserve"> 2015</w:t>
      </w:r>
      <w:r w:rsidRPr="00CC687E">
        <w:rPr>
          <w:rFonts w:ascii="Arial" w:hAnsi="Arial" w:cs="Arial"/>
          <w:b w:val="0"/>
          <w:sz w:val="22"/>
        </w:rPr>
        <w:t>. Following extensive LGA lobbying, it includes the requirement for the successor to the Highways Agency, Highways England, to produce route strategies on which to base future investment plans. Statutory guidance and license terms set out how it must consult and work with councils.</w:t>
      </w:r>
    </w:p>
    <w:p w14:paraId="02D20505" w14:textId="77777777" w:rsidR="00861B32" w:rsidRPr="00CC687E" w:rsidRDefault="00861B32" w:rsidP="00A0663E">
      <w:pPr>
        <w:pStyle w:val="MainText"/>
        <w:spacing w:line="240" w:lineRule="auto"/>
        <w:rPr>
          <w:rFonts w:ascii="Arial" w:hAnsi="Arial" w:cs="Arial"/>
          <w:lang w:val="en-GB"/>
        </w:rPr>
      </w:pPr>
    </w:p>
    <w:p w14:paraId="02D20506" w14:textId="77777777" w:rsidR="00861B32" w:rsidRPr="00CC687E" w:rsidRDefault="00861B32" w:rsidP="00E07F3E">
      <w:pPr>
        <w:pStyle w:val="MainText"/>
        <w:numPr>
          <w:ilvl w:val="0"/>
          <w:numId w:val="13"/>
        </w:numPr>
        <w:spacing w:line="240" w:lineRule="auto"/>
        <w:rPr>
          <w:rFonts w:ascii="Arial" w:hAnsi="Arial" w:cs="Arial"/>
          <w:lang w:val="en-GB"/>
        </w:rPr>
      </w:pPr>
      <w:r w:rsidRPr="00CC687E">
        <w:rPr>
          <w:rFonts w:ascii="Arial" w:hAnsi="Arial" w:cs="Arial"/>
        </w:rPr>
        <w:t>Secondary legislation</w:t>
      </w:r>
      <w:r w:rsidRPr="00CC687E">
        <w:rPr>
          <w:rFonts w:ascii="Arial" w:hAnsi="Arial" w:cs="Arial"/>
          <w:lang w:val="en-GB"/>
        </w:rPr>
        <w:t xml:space="preserve"> in the Deregulation Act 2015 </w:t>
      </w:r>
      <w:r w:rsidRPr="00CC687E">
        <w:rPr>
          <w:rFonts w:ascii="Arial" w:hAnsi="Arial" w:cs="Arial"/>
        </w:rPr>
        <w:t>outline</w:t>
      </w:r>
      <w:r w:rsidRPr="00CC687E">
        <w:rPr>
          <w:rFonts w:ascii="Arial" w:hAnsi="Arial" w:cs="Arial"/>
          <w:lang w:val="en-GB"/>
        </w:rPr>
        <w:t>d</w:t>
      </w:r>
      <w:r w:rsidRPr="00CC687E">
        <w:rPr>
          <w:rFonts w:ascii="Arial" w:hAnsi="Arial" w:cs="Arial"/>
        </w:rPr>
        <w:t xml:space="preserve"> a ban on CCTV for issuing automated fines except in no-parking areas around schools, bus stops, bus lanes and red routes. These exemptions were secured through LGA lobbying supported by the British Parking Association, Living Streets and disabled groups.</w:t>
      </w:r>
    </w:p>
    <w:p w14:paraId="02D20507" w14:textId="77777777" w:rsidR="00DD410D" w:rsidRPr="00CC687E" w:rsidRDefault="00DD410D" w:rsidP="00A0663E">
      <w:pPr>
        <w:pStyle w:val="MainText"/>
        <w:spacing w:line="240" w:lineRule="auto"/>
        <w:ind w:left="426" w:hanging="426"/>
        <w:rPr>
          <w:rFonts w:ascii="Arial" w:hAnsi="Arial" w:cs="Arial"/>
          <w:lang w:val="en-GB"/>
        </w:rPr>
      </w:pPr>
    </w:p>
    <w:p w14:paraId="02D20508" w14:textId="77777777" w:rsidR="00DD410D" w:rsidRPr="00CC687E" w:rsidRDefault="00DD410D" w:rsidP="00E07F3E">
      <w:pPr>
        <w:pStyle w:val="ListParagraph"/>
        <w:numPr>
          <w:ilvl w:val="0"/>
          <w:numId w:val="13"/>
        </w:numPr>
        <w:spacing w:after="0" w:line="240" w:lineRule="auto"/>
        <w:rPr>
          <w:rFonts w:ascii="Arial" w:hAnsi="Arial" w:cs="Arial"/>
        </w:rPr>
      </w:pPr>
      <w:r w:rsidRPr="00CC687E">
        <w:rPr>
          <w:rFonts w:ascii="Arial" w:hAnsi="Arial" w:cs="Arial"/>
        </w:rPr>
        <w:t>Following formal consultation, the Department for Transport announced individual allocations of funding for highways maintenance in January 2015.  LGA lobbying ensured that there was a greater level of funding certainty than in previous years with 80% (£4.8 billion) allocated on a needs based formula basis, and at 10% of total funding (£580 million), the amount subject to competitive bidding is smaller than the original 25% of total funding proposed.</w:t>
      </w:r>
    </w:p>
    <w:p w14:paraId="02D20509" w14:textId="77777777" w:rsidR="005570C7" w:rsidRPr="00CC687E" w:rsidRDefault="005570C7" w:rsidP="00A0663E">
      <w:pPr>
        <w:rPr>
          <w:rFonts w:ascii="Arial" w:hAnsi="Arial" w:cs="Arial"/>
          <w:szCs w:val="22"/>
        </w:rPr>
      </w:pPr>
    </w:p>
    <w:p w14:paraId="02D2050A" w14:textId="77777777" w:rsidR="005570C7" w:rsidRPr="00CC687E" w:rsidRDefault="005570C7" w:rsidP="00E07F3E">
      <w:pPr>
        <w:pStyle w:val="ListParagraph"/>
        <w:numPr>
          <w:ilvl w:val="0"/>
          <w:numId w:val="13"/>
        </w:numPr>
        <w:spacing w:after="0" w:line="240" w:lineRule="auto"/>
        <w:rPr>
          <w:rFonts w:ascii="Arial" w:hAnsi="Arial" w:cs="Arial"/>
        </w:rPr>
      </w:pPr>
      <w:r w:rsidRPr="00CC687E">
        <w:rPr>
          <w:rFonts w:ascii="Arial" w:hAnsi="Arial" w:cs="Arial"/>
        </w:rPr>
        <w:t xml:space="preserve">The work of the Task and Finish Groups on Active Travel and Community Transport is ongoing and further reports to the Board will be considered in due course.  </w:t>
      </w:r>
    </w:p>
    <w:p w14:paraId="02D20514" w14:textId="77777777" w:rsidR="00F7058B" w:rsidRPr="00CC687E" w:rsidRDefault="00F7058B" w:rsidP="00CC687E">
      <w:pPr>
        <w:rPr>
          <w:rFonts w:ascii="Arial" w:hAnsi="Arial" w:cs="Arial"/>
          <w:szCs w:val="22"/>
        </w:rPr>
      </w:pPr>
      <w:bookmarkStart w:id="0" w:name="_GoBack"/>
      <w:bookmarkEnd w:id="0"/>
    </w:p>
    <w:p w14:paraId="02D20515" w14:textId="77777777" w:rsidR="00F7058B" w:rsidRPr="00CC687E" w:rsidRDefault="00F7058B" w:rsidP="00A0663E">
      <w:pPr>
        <w:pStyle w:val="ListParagraph"/>
        <w:spacing w:after="0" w:line="240" w:lineRule="auto"/>
        <w:ind w:left="0"/>
        <w:rPr>
          <w:rFonts w:ascii="Arial" w:hAnsi="Arial" w:cs="Arial"/>
          <w:b/>
        </w:rPr>
      </w:pPr>
      <w:r w:rsidRPr="00CC687E">
        <w:rPr>
          <w:rFonts w:ascii="Arial" w:hAnsi="Arial" w:cs="Arial"/>
          <w:b/>
        </w:rPr>
        <w:t>Financial Implications</w:t>
      </w:r>
    </w:p>
    <w:p w14:paraId="02D20516" w14:textId="77777777" w:rsidR="00F7058B" w:rsidRPr="00CC687E" w:rsidRDefault="00F7058B" w:rsidP="00A0663E">
      <w:pPr>
        <w:pStyle w:val="ListParagraph"/>
        <w:spacing w:after="0" w:line="240" w:lineRule="auto"/>
        <w:ind w:left="0"/>
        <w:rPr>
          <w:rFonts w:ascii="Arial" w:hAnsi="Arial" w:cs="Arial"/>
        </w:rPr>
      </w:pPr>
    </w:p>
    <w:p w14:paraId="02D20517" w14:textId="77777777" w:rsidR="00A75720" w:rsidRPr="00083EC5" w:rsidRDefault="00F7058B" w:rsidP="00E07F3E">
      <w:pPr>
        <w:pStyle w:val="MainText"/>
        <w:numPr>
          <w:ilvl w:val="0"/>
          <w:numId w:val="13"/>
        </w:numPr>
        <w:spacing w:line="240" w:lineRule="auto"/>
        <w:rPr>
          <w:rFonts w:ascii="Arial" w:hAnsi="Arial" w:cs="Arial"/>
        </w:rPr>
      </w:pPr>
      <w:r w:rsidRPr="00CC687E">
        <w:rPr>
          <w:rFonts w:ascii="Arial" w:hAnsi="Arial" w:cs="Arial"/>
        </w:rPr>
        <w:t xml:space="preserve">All work programmes are met from existing budgets and resources. </w:t>
      </w:r>
    </w:p>
    <w:p w14:paraId="0801C8B8" w14:textId="77777777" w:rsidR="00083EC5" w:rsidRDefault="00083EC5" w:rsidP="00083EC5">
      <w:pPr>
        <w:pStyle w:val="MainText"/>
        <w:rPr>
          <w:rFonts w:ascii="Arial" w:hAnsi="Arial" w:cs="Arial"/>
          <w:lang w:val="en-GB"/>
        </w:rPr>
      </w:pPr>
    </w:p>
    <w:p w14:paraId="3C3DB684" w14:textId="77777777" w:rsidR="00083EC5" w:rsidRDefault="00083EC5" w:rsidP="00083EC5">
      <w:pPr>
        <w:pStyle w:val="MainText"/>
        <w:rPr>
          <w:rFonts w:ascii="Arial" w:hAnsi="Arial" w:cs="Arial"/>
          <w:lang w:val="en-GB"/>
        </w:rPr>
      </w:pPr>
    </w:p>
    <w:p w14:paraId="268FAD23" w14:textId="77777777" w:rsidR="00083EC5" w:rsidRPr="00083EC5" w:rsidRDefault="00083EC5" w:rsidP="00083EC5">
      <w:pPr>
        <w:pStyle w:val="MainText"/>
        <w:rPr>
          <w:rFonts w:ascii="Arial" w:hAnsi="Arial" w:cs="Arial"/>
          <w:lang w:val="en-GB"/>
        </w:rPr>
      </w:pPr>
    </w:p>
    <w:tbl>
      <w:tblPr>
        <w:tblW w:w="0" w:type="auto"/>
        <w:tblLook w:val="01E0" w:firstRow="1" w:lastRow="1" w:firstColumn="1" w:lastColumn="1" w:noHBand="0" w:noVBand="0"/>
      </w:tblPr>
      <w:tblGrid>
        <w:gridCol w:w="2802"/>
        <w:gridCol w:w="6378"/>
      </w:tblGrid>
      <w:tr w:rsidR="00083EC5" w14:paraId="519E1377" w14:textId="77777777" w:rsidTr="00700D2B">
        <w:tc>
          <w:tcPr>
            <w:tcW w:w="2802" w:type="dxa"/>
            <w:hideMark/>
          </w:tcPr>
          <w:p w14:paraId="477DFBE2" w14:textId="77777777" w:rsidR="00083EC5" w:rsidRDefault="00083EC5" w:rsidP="00700D2B">
            <w:pPr>
              <w:pStyle w:val="MainText"/>
              <w:spacing w:after="120" w:line="240" w:lineRule="auto"/>
              <w:rPr>
                <w:rFonts w:ascii="Arial" w:hAnsi="Arial" w:cs="Arial"/>
                <w:lang w:val="en-GB" w:eastAsia="en-GB"/>
              </w:rPr>
            </w:pPr>
            <w:r>
              <w:rPr>
                <w:rFonts w:ascii="Arial" w:hAnsi="Arial" w:cs="Arial"/>
                <w:b/>
                <w:lang w:val="en-GB" w:eastAsia="en-GB"/>
              </w:rPr>
              <w:t>Contact officer:</w:t>
            </w:r>
            <w:r>
              <w:rPr>
                <w:rFonts w:ascii="Arial" w:hAnsi="Arial" w:cs="Arial"/>
                <w:lang w:val="en-GB" w:eastAsia="en-GB"/>
              </w:rPr>
              <w:t xml:space="preserve">  </w:t>
            </w:r>
          </w:p>
        </w:tc>
        <w:tc>
          <w:tcPr>
            <w:tcW w:w="6378" w:type="dxa"/>
            <w:hideMark/>
          </w:tcPr>
          <w:p w14:paraId="4734DA0E" w14:textId="77777777" w:rsidR="00083EC5" w:rsidRDefault="00083EC5" w:rsidP="00700D2B">
            <w:pPr>
              <w:pStyle w:val="MainText"/>
              <w:spacing w:after="120" w:line="240" w:lineRule="auto"/>
              <w:rPr>
                <w:rFonts w:ascii="Arial" w:hAnsi="Arial" w:cs="Arial"/>
                <w:lang w:val="en-GB" w:eastAsia="en-GB"/>
              </w:rPr>
            </w:pPr>
            <w:r>
              <w:rPr>
                <w:rFonts w:ascii="Arial" w:hAnsi="Arial" w:cs="Arial"/>
                <w:lang w:val="en-GB" w:eastAsia="en-GB"/>
              </w:rPr>
              <w:t>Ian Hughes</w:t>
            </w:r>
          </w:p>
        </w:tc>
      </w:tr>
      <w:tr w:rsidR="00083EC5" w14:paraId="05FF1CFD" w14:textId="77777777" w:rsidTr="00700D2B">
        <w:tc>
          <w:tcPr>
            <w:tcW w:w="2802" w:type="dxa"/>
            <w:hideMark/>
          </w:tcPr>
          <w:p w14:paraId="385DA7E7" w14:textId="77777777" w:rsidR="00083EC5" w:rsidRDefault="00083EC5" w:rsidP="00700D2B">
            <w:pPr>
              <w:pStyle w:val="MainText"/>
              <w:spacing w:after="120" w:line="240" w:lineRule="auto"/>
              <w:rPr>
                <w:rFonts w:ascii="Arial" w:hAnsi="Arial" w:cs="Arial"/>
                <w:b/>
                <w:lang w:val="en-GB" w:eastAsia="en-GB"/>
              </w:rPr>
            </w:pPr>
            <w:r>
              <w:rPr>
                <w:rFonts w:ascii="Arial" w:hAnsi="Arial" w:cs="Arial"/>
                <w:b/>
                <w:lang w:val="en-GB" w:eastAsia="en-GB"/>
              </w:rPr>
              <w:t>Position:</w:t>
            </w:r>
          </w:p>
        </w:tc>
        <w:tc>
          <w:tcPr>
            <w:tcW w:w="6378" w:type="dxa"/>
            <w:hideMark/>
          </w:tcPr>
          <w:p w14:paraId="7BFF236E" w14:textId="77777777" w:rsidR="00083EC5" w:rsidRDefault="00083EC5" w:rsidP="00700D2B">
            <w:pPr>
              <w:pStyle w:val="MainText"/>
              <w:spacing w:after="120" w:line="240" w:lineRule="auto"/>
              <w:rPr>
                <w:rFonts w:ascii="Arial" w:hAnsi="Arial" w:cs="Arial"/>
                <w:lang w:val="en-GB" w:eastAsia="en-GB"/>
              </w:rPr>
            </w:pPr>
            <w:r>
              <w:rPr>
                <w:rFonts w:ascii="Arial" w:hAnsi="Arial" w:cs="Arial"/>
                <w:lang w:val="en-GB" w:eastAsia="en-GB"/>
              </w:rPr>
              <w:t>Head of Policy</w:t>
            </w:r>
          </w:p>
        </w:tc>
      </w:tr>
      <w:tr w:rsidR="00083EC5" w14:paraId="15C9B94C" w14:textId="77777777" w:rsidTr="00700D2B">
        <w:tc>
          <w:tcPr>
            <w:tcW w:w="2802" w:type="dxa"/>
            <w:hideMark/>
          </w:tcPr>
          <w:p w14:paraId="2707CA49" w14:textId="77777777" w:rsidR="00083EC5" w:rsidRDefault="00083EC5" w:rsidP="00700D2B">
            <w:pPr>
              <w:pStyle w:val="MainText"/>
              <w:spacing w:after="120" w:line="240" w:lineRule="auto"/>
              <w:rPr>
                <w:rFonts w:ascii="Arial" w:hAnsi="Arial" w:cs="Arial"/>
                <w:b/>
                <w:lang w:val="en-GB" w:eastAsia="en-GB"/>
              </w:rPr>
            </w:pPr>
            <w:r>
              <w:rPr>
                <w:rFonts w:ascii="Arial" w:hAnsi="Arial" w:cs="Arial"/>
                <w:b/>
                <w:lang w:val="en-GB" w:eastAsia="en-GB"/>
              </w:rPr>
              <w:t>Phone no:</w:t>
            </w:r>
          </w:p>
        </w:tc>
        <w:tc>
          <w:tcPr>
            <w:tcW w:w="6378" w:type="dxa"/>
            <w:hideMark/>
          </w:tcPr>
          <w:p w14:paraId="70E82B15" w14:textId="77777777" w:rsidR="00083EC5" w:rsidRDefault="00083EC5" w:rsidP="00700D2B">
            <w:pPr>
              <w:pStyle w:val="MainText"/>
              <w:spacing w:after="120" w:line="240" w:lineRule="auto"/>
              <w:rPr>
                <w:rFonts w:ascii="Arial" w:hAnsi="Arial" w:cs="Arial"/>
                <w:lang w:val="en-GB" w:eastAsia="en-GB"/>
              </w:rPr>
            </w:pPr>
            <w:r>
              <w:rPr>
                <w:rFonts w:ascii="Arial" w:hAnsi="Arial" w:cs="Arial"/>
                <w:lang w:val="en-GB" w:eastAsia="en-GB"/>
              </w:rPr>
              <w:t>020 7664 3101</w:t>
            </w:r>
          </w:p>
        </w:tc>
      </w:tr>
      <w:tr w:rsidR="00083EC5" w14:paraId="1BEA74F9" w14:textId="77777777" w:rsidTr="00700D2B">
        <w:tc>
          <w:tcPr>
            <w:tcW w:w="2802" w:type="dxa"/>
            <w:hideMark/>
          </w:tcPr>
          <w:p w14:paraId="76D6450A" w14:textId="77777777" w:rsidR="00083EC5" w:rsidRDefault="00083EC5" w:rsidP="00700D2B">
            <w:pPr>
              <w:pStyle w:val="MainText"/>
              <w:spacing w:after="120" w:line="240" w:lineRule="auto"/>
              <w:rPr>
                <w:rFonts w:ascii="Arial" w:hAnsi="Arial" w:cs="Arial"/>
                <w:b/>
                <w:lang w:val="en-GB" w:eastAsia="en-GB"/>
              </w:rPr>
            </w:pPr>
            <w:r>
              <w:rPr>
                <w:rFonts w:ascii="Arial" w:hAnsi="Arial" w:cs="Arial"/>
                <w:b/>
                <w:lang w:val="en-GB" w:eastAsia="en-GB"/>
              </w:rPr>
              <w:t>E-mail:</w:t>
            </w:r>
          </w:p>
        </w:tc>
        <w:tc>
          <w:tcPr>
            <w:tcW w:w="6378" w:type="dxa"/>
          </w:tcPr>
          <w:p w14:paraId="152385D3" w14:textId="77777777" w:rsidR="00083EC5" w:rsidRDefault="00DB1329" w:rsidP="00700D2B">
            <w:pPr>
              <w:pStyle w:val="MainText"/>
              <w:spacing w:after="120" w:line="240" w:lineRule="auto"/>
              <w:rPr>
                <w:rFonts w:ascii="Arial" w:hAnsi="Arial" w:cs="Arial"/>
                <w:lang w:val="en-GB" w:eastAsia="en-GB"/>
              </w:rPr>
            </w:pPr>
            <w:hyperlink r:id="rId13" w:history="1">
              <w:r w:rsidR="00083EC5" w:rsidRPr="009F0B25">
                <w:rPr>
                  <w:rStyle w:val="Hyperlink"/>
                  <w:rFonts w:ascii="Arial" w:hAnsi="Arial" w:cs="Arial"/>
                  <w:lang w:val="en-GB" w:eastAsia="en-GB"/>
                </w:rPr>
                <w:t>ian.hughes@local.gov.uk</w:t>
              </w:r>
            </w:hyperlink>
          </w:p>
          <w:p w14:paraId="0ED1A66E" w14:textId="77777777" w:rsidR="00083EC5" w:rsidRDefault="00083EC5" w:rsidP="00700D2B">
            <w:pPr>
              <w:pStyle w:val="MainText"/>
              <w:spacing w:after="120" w:line="240" w:lineRule="auto"/>
              <w:rPr>
                <w:rFonts w:ascii="Arial" w:hAnsi="Arial" w:cs="Arial"/>
                <w:lang w:val="en-GB" w:eastAsia="en-GB"/>
              </w:rPr>
            </w:pPr>
          </w:p>
        </w:tc>
      </w:tr>
    </w:tbl>
    <w:p w14:paraId="0C9631FA" w14:textId="77777777" w:rsidR="00083EC5" w:rsidRDefault="00083EC5" w:rsidP="00083EC5">
      <w:pPr>
        <w:pStyle w:val="MainText"/>
        <w:ind w:left="720"/>
        <w:rPr>
          <w:rFonts w:ascii="Arial" w:hAnsi="Arial" w:cs="Arial"/>
        </w:rPr>
      </w:pPr>
    </w:p>
    <w:p w14:paraId="7907FC2A" w14:textId="77777777" w:rsidR="00083EC5" w:rsidRDefault="00083EC5" w:rsidP="00083EC5">
      <w:pPr>
        <w:pStyle w:val="MainText"/>
        <w:ind w:left="720"/>
        <w:rPr>
          <w:rFonts w:ascii="Arial" w:hAnsi="Arial" w:cs="Arial"/>
        </w:rPr>
      </w:pPr>
    </w:p>
    <w:p w14:paraId="4261C7E0" w14:textId="77777777" w:rsidR="00083EC5" w:rsidRDefault="00083EC5" w:rsidP="00083EC5">
      <w:pPr>
        <w:pStyle w:val="LGAItemNoHeading"/>
        <w:ind w:left="720"/>
        <w:rPr>
          <w:rFonts w:ascii="Arial" w:hAnsi="Arial" w:cs="Arial"/>
          <w:sz w:val="28"/>
          <w:szCs w:val="28"/>
          <w:lang w:val="en-GB"/>
        </w:rPr>
      </w:pPr>
      <w:bookmarkStart w:id="1" w:name="MainHeading2"/>
      <w:bookmarkEnd w:id="1"/>
    </w:p>
    <w:p w14:paraId="2102EB18" w14:textId="77777777" w:rsidR="00083EC5" w:rsidRPr="00CC687E" w:rsidRDefault="00083EC5" w:rsidP="00083EC5">
      <w:pPr>
        <w:pStyle w:val="MainText"/>
        <w:spacing w:line="240" w:lineRule="auto"/>
        <w:ind w:left="720"/>
        <w:rPr>
          <w:rFonts w:ascii="Arial" w:hAnsi="Arial" w:cs="Arial"/>
        </w:rPr>
      </w:pPr>
    </w:p>
    <w:sectPr w:rsidR="00083EC5" w:rsidRPr="00CC687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CC975" w14:textId="77777777" w:rsidR="007D4460" w:rsidRDefault="007D4460" w:rsidP="00F7058B">
      <w:r>
        <w:separator/>
      </w:r>
    </w:p>
  </w:endnote>
  <w:endnote w:type="continuationSeparator" w:id="0">
    <w:p w14:paraId="2F23F492" w14:textId="77777777" w:rsidR="007D4460" w:rsidRDefault="007D4460" w:rsidP="00F7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Frutiger 45 Light">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37D75" w14:textId="77777777" w:rsidR="007D4460" w:rsidRDefault="007D4460" w:rsidP="00F7058B">
      <w:r>
        <w:separator/>
      </w:r>
    </w:p>
  </w:footnote>
  <w:footnote w:type="continuationSeparator" w:id="0">
    <w:p w14:paraId="3C09F48B" w14:textId="77777777" w:rsidR="007D4460" w:rsidRDefault="007D4460" w:rsidP="00F70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51"/>
      <w:gridCol w:w="3491"/>
    </w:tblGrid>
    <w:tr w:rsidR="00F7058B" w:rsidRPr="00F7058B" w14:paraId="02D2051E" w14:textId="77777777" w:rsidTr="00F7058B">
      <w:tc>
        <w:tcPr>
          <w:tcW w:w="5778" w:type="dxa"/>
          <w:vMerge w:val="restart"/>
          <w:hideMark/>
        </w:tcPr>
        <w:p w14:paraId="02D2051C" w14:textId="77777777" w:rsidR="00F7058B" w:rsidRPr="00F7058B" w:rsidRDefault="00C50D3B" w:rsidP="00F7058B">
          <w:pPr>
            <w:tabs>
              <w:tab w:val="center" w:pos="4153"/>
              <w:tab w:val="right" w:pos="8306"/>
            </w:tabs>
            <w:rPr>
              <w:szCs w:val="22"/>
            </w:rPr>
          </w:pPr>
          <w:r>
            <w:rPr>
              <w:rFonts w:ascii="Arial" w:hAnsi="Arial" w:cs="Arial"/>
              <w:noProof/>
              <w:sz w:val="44"/>
              <w:szCs w:val="44"/>
            </w:rPr>
            <w:drawing>
              <wp:inline distT="0" distB="0" distL="0" distR="0" wp14:anchorId="02D20526" wp14:editId="02D20527">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509" w:type="dxa"/>
          <w:hideMark/>
        </w:tcPr>
        <w:p w14:paraId="02D2051D" w14:textId="4F552CE0" w:rsidR="00F7058B" w:rsidRPr="00F7058B" w:rsidRDefault="00083EC5" w:rsidP="00F7058B">
          <w:pPr>
            <w:tabs>
              <w:tab w:val="center" w:pos="4153"/>
              <w:tab w:val="right" w:pos="8306"/>
            </w:tabs>
            <w:rPr>
              <w:b/>
              <w:szCs w:val="22"/>
            </w:rPr>
          </w:pPr>
          <w:r>
            <w:rPr>
              <w:rFonts w:ascii="Arial" w:hAnsi="Arial" w:cs="Arial"/>
              <w:b/>
              <w:szCs w:val="22"/>
            </w:rPr>
            <w:t xml:space="preserve">LGA Executive </w:t>
          </w:r>
        </w:p>
      </w:tc>
    </w:tr>
    <w:tr w:rsidR="00F7058B" w:rsidRPr="00F7058B" w14:paraId="02D20521" w14:textId="77777777" w:rsidTr="00F7058B">
      <w:trPr>
        <w:trHeight w:val="450"/>
      </w:trPr>
      <w:tc>
        <w:tcPr>
          <w:tcW w:w="0" w:type="auto"/>
          <w:vMerge/>
          <w:vAlign w:val="center"/>
          <w:hideMark/>
        </w:tcPr>
        <w:p w14:paraId="02D2051F" w14:textId="77777777" w:rsidR="00F7058B" w:rsidRPr="00F7058B" w:rsidRDefault="00F7058B" w:rsidP="00F7058B">
          <w:pPr>
            <w:rPr>
              <w:szCs w:val="22"/>
            </w:rPr>
          </w:pPr>
        </w:p>
      </w:tc>
      <w:tc>
        <w:tcPr>
          <w:tcW w:w="3509" w:type="dxa"/>
          <w:hideMark/>
        </w:tcPr>
        <w:p w14:paraId="02D20520" w14:textId="1C83839D" w:rsidR="00F7058B" w:rsidRPr="00F7058B" w:rsidRDefault="00083EC5" w:rsidP="00083EC5">
          <w:pPr>
            <w:tabs>
              <w:tab w:val="center" w:pos="4153"/>
              <w:tab w:val="right" w:pos="8306"/>
            </w:tabs>
            <w:spacing w:before="60"/>
            <w:rPr>
              <w:szCs w:val="22"/>
            </w:rPr>
          </w:pPr>
          <w:r>
            <w:rPr>
              <w:rFonts w:ascii="Arial" w:hAnsi="Arial" w:cs="Arial"/>
              <w:szCs w:val="22"/>
            </w:rPr>
            <w:t xml:space="preserve">17 September </w:t>
          </w:r>
          <w:r w:rsidR="00F7058B">
            <w:rPr>
              <w:rFonts w:ascii="Arial" w:hAnsi="Arial" w:cs="Arial"/>
              <w:szCs w:val="22"/>
            </w:rPr>
            <w:t>2015</w:t>
          </w:r>
        </w:p>
      </w:tc>
    </w:tr>
    <w:tr w:rsidR="00F7058B" w:rsidRPr="00F7058B" w14:paraId="02D20524" w14:textId="77777777" w:rsidTr="00F7058B">
      <w:trPr>
        <w:trHeight w:val="450"/>
      </w:trPr>
      <w:tc>
        <w:tcPr>
          <w:tcW w:w="0" w:type="auto"/>
          <w:vMerge/>
          <w:vAlign w:val="center"/>
          <w:hideMark/>
        </w:tcPr>
        <w:p w14:paraId="02D20522" w14:textId="77777777" w:rsidR="00F7058B" w:rsidRPr="00F7058B" w:rsidRDefault="00F7058B" w:rsidP="00F7058B">
          <w:pPr>
            <w:rPr>
              <w:szCs w:val="22"/>
            </w:rPr>
          </w:pPr>
        </w:p>
      </w:tc>
      <w:tc>
        <w:tcPr>
          <w:tcW w:w="3509" w:type="dxa"/>
          <w:vAlign w:val="bottom"/>
        </w:tcPr>
        <w:p w14:paraId="02D20523" w14:textId="77777777" w:rsidR="00F7058B" w:rsidRPr="00F7058B" w:rsidRDefault="00F7058B" w:rsidP="00F7058B">
          <w:pPr>
            <w:tabs>
              <w:tab w:val="center" w:pos="4153"/>
              <w:tab w:val="right" w:pos="8306"/>
            </w:tabs>
            <w:spacing w:before="60"/>
            <w:rPr>
              <w:rFonts w:ascii="Arial" w:hAnsi="Arial" w:cs="Arial"/>
              <w:b/>
              <w:szCs w:val="22"/>
            </w:rPr>
          </w:pPr>
        </w:p>
      </w:tc>
    </w:tr>
  </w:tbl>
  <w:p w14:paraId="02D20525" w14:textId="77777777" w:rsidR="00F7058B" w:rsidRDefault="00F70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4248"/>
    <w:multiLevelType w:val="multilevel"/>
    <w:tmpl w:val="6D34ECD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37712E5C"/>
    <w:multiLevelType w:val="hybridMultilevel"/>
    <w:tmpl w:val="02C4710C"/>
    <w:lvl w:ilvl="0" w:tplc="83C48814">
      <w:start w:val="1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37FB648E"/>
    <w:multiLevelType w:val="multilevel"/>
    <w:tmpl w:val="76BC852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3B101E6F"/>
    <w:multiLevelType w:val="hybridMultilevel"/>
    <w:tmpl w:val="C486DF1C"/>
    <w:lvl w:ilvl="0" w:tplc="E0A8159A">
      <w:start w:val="1"/>
      <w:numFmt w:val="decimal"/>
      <w:lvlText w:val="%1."/>
      <w:lvlJc w:val="left"/>
      <w:pPr>
        <w:tabs>
          <w:tab w:val="num" w:pos="360"/>
        </w:tabs>
        <w:ind w:left="360" w:hanging="360"/>
      </w:pPr>
      <w:rPr>
        <w:rFonts w:ascii="Arial" w:hAnsi="Arial" w:cs="Arial" w:hint="default"/>
        <w:b w:val="0"/>
        <w:sz w:val="22"/>
        <w:szCs w:val="22"/>
      </w:rPr>
    </w:lvl>
    <w:lvl w:ilvl="1" w:tplc="371200EA">
      <w:start w:val="1"/>
      <w:numFmt w:val="none"/>
      <w:lvlText w:val="4.1"/>
      <w:lvlJc w:val="left"/>
      <w:pPr>
        <w:tabs>
          <w:tab w:val="num" w:pos="1080"/>
        </w:tabs>
        <w:ind w:left="1080" w:hanging="360"/>
      </w:pPr>
      <w:rPr>
        <w:rFonts w:ascii="Frutiger 45 Light" w:hAnsi="Frutiger 45 Light" w:hint="default"/>
        <w:b w:val="0"/>
        <w:i w:val="0"/>
        <w:sz w:val="22"/>
        <w:szCs w:val="22"/>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432F26A1"/>
    <w:multiLevelType w:val="multilevel"/>
    <w:tmpl w:val="F76C6ED8"/>
    <w:lvl w:ilvl="0">
      <w:start w:val="6"/>
      <w:numFmt w:val="decimal"/>
      <w:lvlText w:val="%1."/>
      <w:lvlJc w:val="left"/>
      <w:pPr>
        <w:ind w:left="720" w:hanging="360"/>
      </w:pPr>
      <w:rPr>
        <w:rFonts w:ascii="Arial" w:hAnsi="Arial" w:cs="Arial" w:hint="default"/>
      </w:rPr>
    </w:lvl>
    <w:lvl w:ilvl="1">
      <w:start w:val="3"/>
      <w:numFmt w:val="decimal"/>
      <w:isLgl/>
      <w:lvlText w:val="%1.%2"/>
      <w:lvlJc w:val="left"/>
      <w:pPr>
        <w:ind w:left="846" w:hanging="42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5">
    <w:nsid w:val="44CA45F6"/>
    <w:multiLevelType w:val="hybridMultilevel"/>
    <w:tmpl w:val="15B40DC2"/>
    <w:lvl w:ilvl="0" w:tplc="81506F24">
      <w:start w:val="2"/>
      <w:numFmt w:val="decimalZer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4CA46BB4"/>
    <w:multiLevelType w:val="hybridMultilevel"/>
    <w:tmpl w:val="A642ABDA"/>
    <w:lvl w:ilvl="0" w:tplc="4460ABE2">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7">
    <w:nsid w:val="5CEF0EDF"/>
    <w:multiLevelType w:val="multilevel"/>
    <w:tmpl w:val="7AEE8520"/>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60091167"/>
    <w:multiLevelType w:val="hybridMultilevel"/>
    <w:tmpl w:val="9F6091C6"/>
    <w:lvl w:ilvl="0" w:tplc="59BCF898">
      <w:start w:val="8"/>
      <w:numFmt w:val="decimalZero"/>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nsid w:val="64D05126"/>
    <w:multiLevelType w:val="hybridMultilevel"/>
    <w:tmpl w:val="0EF2B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7A641F"/>
    <w:multiLevelType w:val="hybridMultilevel"/>
    <w:tmpl w:val="7B76B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C820339"/>
    <w:multiLevelType w:val="hybridMultilevel"/>
    <w:tmpl w:val="2B34D432"/>
    <w:lvl w:ilvl="0" w:tplc="87765108">
      <w:start w:val="2"/>
      <w:numFmt w:val="decimalZer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6F236EA5"/>
    <w:multiLevelType w:val="hybridMultilevel"/>
    <w:tmpl w:val="7FB0F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124BB7"/>
    <w:multiLevelType w:val="hybridMultilevel"/>
    <w:tmpl w:val="ECAC4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8B"/>
    <w:rsid w:val="00022FD4"/>
    <w:rsid w:val="00083EC5"/>
    <w:rsid w:val="00140CF3"/>
    <w:rsid w:val="0033613D"/>
    <w:rsid w:val="003413CE"/>
    <w:rsid w:val="004378E2"/>
    <w:rsid w:val="00471F71"/>
    <w:rsid w:val="00485C9A"/>
    <w:rsid w:val="00494BFF"/>
    <w:rsid w:val="004A1EC5"/>
    <w:rsid w:val="005570C7"/>
    <w:rsid w:val="005D4DEA"/>
    <w:rsid w:val="005E7A29"/>
    <w:rsid w:val="00672CA8"/>
    <w:rsid w:val="006A011C"/>
    <w:rsid w:val="00756069"/>
    <w:rsid w:val="0076234B"/>
    <w:rsid w:val="007D4460"/>
    <w:rsid w:val="00861B32"/>
    <w:rsid w:val="008720C3"/>
    <w:rsid w:val="008A0F79"/>
    <w:rsid w:val="00915A2B"/>
    <w:rsid w:val="00933F41"/>
    <w:rsid w:val="009C0AAF"/>
    <w:rsid w:val="00A01E80"/>
    <w:rsid w:val="00A0663E"/>
    <w:rsid w:val="00A75720"/>
    <w:rsid w:val="00AE72ED"/>
    <w:rsid w:val="00B630EE"/>
    <w:rsid w:val="00BA73FE"/>
    <w:rsid w:val="00BC21FC"/>
    <w:rsid w:val="00BD7434"/>
    <w:rsid w:val="00BE2F36"/>
    <w:rsid w:val="00C50D3B"/>
    <w:rsid w:val="00CC687E"/>
    <w:rsid w:val="00D43750"/>
    <w:rsid w:val="00DB1329"/>
    <w:rsid w:val="00DD410D"/>
    <w:rsid w:val="00E0799A"/>
    <w:rsid w:val="00E07F3E"/>
    <w:rsid w:val="00E57181"/>
    <w:rsid w:val="00E666E9"/>
    <w:rsid w:val="00EE7732"/>
    <w:rsid w:val="00F52C1F"/>
    <w:rsid w:val="00F66C2D"/>
    <w:rsid w:val="00F7058B"/>
    <w:rsid w:val="00FD6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8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7058B"/>
    <w:rPr>
      <w:color w:val="0000FF"/>
      <w:u w:val="single"/>
    </w:rPr>
  </w:style>
  <w:style w:type="paragraph" w:styleId="ListParagraph">
    <w:name w:val="List Paragraph"/>
    <w:basedOn w:val="Normal"/>
    <w:uiPriority w:val="34"/>
    <w:qFormat/>
    <w:rsid w:val="00F7058B"/>
    <w:pPr>
      <w:spacing w:after="200" w:line="276" w:lineRule="auto"/>
      <w:ind w:left="720"/>
      <w:contextualSpacing/>
    </w:pPr>
    <w:rPr>
      <w:rFonts w:ascii="Calibri" w:eastAsia="Calibri" w:hAnsi="Calibri"/>
      <w:szCs w:val="22"/>
      <w:lang w:eastAsia="en-US"/>
    </w:rPr>
  </w:style>
  <w:style w:type="character" w:customStyle="1" w:styleId="MainTextChar">
    <w:name w:val="Main Text Char"/>
    <w:link w:val="MainText"/>
    <w:locked/>
    <w:rsid w:val="00F7058B"/>
    <w:rPr>
      <w:rFonts w:ascii="Frutiger 45 Light" w:hAnsi="Frutiger 45 Light"/>
      <w:lang w:val="x-none" w:eastAsia="x-none"/>
    </w:rPr>
  </w:style>
  <w:style w:type="paragraph" w:customStyle="1" w:styleId="MainText">
    <w:name w:val="Main Text"/>
    <w:basedOn w:val="Normal"/>
    <w:link w:val="MainTextChar"/>
    <w:rsid w:val="00F7058B"/>
    <w:pPr>
      <w:spacing w:line="280" w:lineRule="exact"/>
    </w:pPr>
    <w:rPr>
      <w:rFonts w:eastAsiaTheme="minorHAnsi" w:cstheme="minorBidi"/>
      <w:szCs w:val="22"/>
      <w:lang w:val="x-none" w:eastAsia="x-none"/>
    </w:rPr>
  </w:style>
  <w:style w:type="paragraph" w:customStyle="1" w:styleId="LGAItemNoHeading">
    <w:name w:val="LGA Item No Heading"/>
    <w:basedOn w:val="MainText"/>
    <w:rsid w:val="00F7058B"/>
    <w:pPr>
      <w:spacing w:before="600" w:after="240"/>
    </w:pPr>
    <w:rPr>
      <w:rFonts w:ascii="Frutiger 55 Roman" w:hAnsi="Frutiger 55 Roman"/>
      <w:b/>
      <w:sz w:val="32"/>
    </w:rPr>
  </w:style>
  <w:style w:type="paragraph" w:customStyle="1" w:styleId="LGASubHead1">
    <w:name w:val="LGA Sub Head1"/>
    <w:basedOn w:val="MainText"/>
    <w:next w:val="MainText"/>
    <w:rsid w:val="00F7058B"/>
    <w:pPr>
      <w:spacing w:after="120" w:line="240" w:lineRule="auto"/>
    </w:pPr>
    <w:rPr>
      <w:b/>
      <w:sz w:val="28"/>
    </w:rPr>
  </w:style>
  <w:style w:type="paragraph" w:styleId="Header">
    <w:name w:val="header"/>
    <w:basedOn w:val="Normal"/>
    <w:link w:val="HeaderChar"/>
    <w:uiPriority w:val="99"/>
    <w:unhideWhenUsed/>
    <w:rsid w:val="00F7058B"/>
    <w:pPr>
      <w:tabs>
        <w:tab w:val="center" w:pos="4513"/>
        <w:tab w:val="right" w:pos="9026"/>
      </w:tabs>
    </w:pPr>
  </w:style>
  <w:style w:type="character" w:customStyle="1" w:styleId="HeaderChar">
    <w:name w:val="Header Char"/>
    <w:basedOn w:val="DefaultParagraphFont"/>
    <w:link w:val="Header"/>
    <w:uiPriority w:val="99"/>
    <w:rsid w:val="00F7058B"/>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F7058B"/>
    <w:pPr>
      <w:tabs>
        <w:tab w:val="center" w:pos="4513"/>
        <w:tab w:val="right" w:pos="9026"/>
      </w:tabs>
    </w:pPr>
  </w:style>
  <w:style w:type="character" w:customStyle="1" w:styleId="FooterChar">
    <w:name w:val="Footer Char"/>
    <w:basedOn w:val="DefaultParagraphFont"/>
    <w:link w:val="Footer"/>
    <w:uiPriority w:val="99"/>
    <w:rsid w:val="00F7058B"/>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F7058B"/>
    <w:rPr>
      <w:rFonts w:ascii="Tahoma" w:hAnsi="Tahoma" w:cs="Tahoma"/>
      <w:sz w:val="16"/>
      <w:szCs w:val="16"/>
    </w:rPr>
  </w:style>
  <w:style w:type="character" w:customStyle="1" w:styleId="BalloonTextChar">
    <w:name w:val="Balloon Text Char"/>
    <w:basedOn w:val="DefaultParagraphFont"/>
    <w:link w:val="BalloonText"/>
    <w:uiPriority w:val="99"/>
    <w:semiHidden/>
    <w:rsid w:val="00F7058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8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7058B"/>
    <w:rPr>
      <w:color w:val="0000FF"/>
      <w:u w:val="single"/>
    </w:rPr>
  </w:style>
  <w:style w:type="paragraph" w:styleId="ListParagraph">
    <w:name w:val="List Paragraph"/>
    <w:basedOn w:val="Normal"/>
    <w:uiPriority w:val="34"/>
    <w:qFormat/>
    <w:rsid w:val="00F7058B"/>
    <w:pPr>
      <w:spacing w:after="200" w:line="276" w:lineRule="auto"/>
      <w:ind w:left="720"/>
      <w:contextualSpacing/>
    </w:pPr>
    <w:rPr>
      <w:rFonts w:ascii="Calibri" w:eastAsia="Calibri" w:hAnsi="Calibri"/>
      <w:szCs w:val="22"/>
      <w:lang w:eastAsia="en-US"/>
    </w:rPr>
  </w:style>
  <w:style w:type="character" w:customStyle="1" w:styleId="MainTextChar">
    <w:name w:val="Main Text Char"/>
    <w:link w:val="MainText"/>
    <w:locked/>
    <w:rsid w:val="00F7058B"/>
    <w:rPr>
      <w:rFonts w:ascii="Frutiger 45 Light" w:hAnsi="Frutiger 45 Light"/>
      <w:lang w:val="x-none" w:eastAsia="x-none"/>
    </w:rPr>
  </w:style>
  <w:style w:type="paragraph" w:customStyle="1" w:styleId="MainText">
    <w:name w:val="Main Text"/>
    <w:basedOn w:val="Normal"/>
    <w:link w:val="MainTextChar"/>
    <w:rsid w:val="00F7058B"/>
    <w:pPr>
      <w:spacing w:line="280" w:lineRule="exact"/>
    </w:pPr>
    <w:rPr>
      <w:rFonts w:eastAsiaTheme="minorHAnsi" w:cstheme="minorBidi"/>
      <w:szCs w:val="22"/>
      <w:lang w:val="x-none" w:eastAsia="x-none"/>
    </w:rPr>
  </w:style>
  <w:style w:type="paragraph" w:customStyle="1" w:styleId="LGAItemNoHeading">
    <w:name w:val="LGA Item No Heading"/>
    <w:basedOn w:val="MainText"/>
    <w:rsid w:val="00F7058B"/>
    <w:pPr>
      <w:spacing w:before="600" w:after="240"/>
    </w:pPr>
    <w:rPr>
      <w:rFonts w:ascii="Frutiger 55 Roman" w:hAnsi="Frutiger 55 Roman"/>
      <w:b/>
      <w:sz w:val="32"/>
    </w:rPr>
  </w:style>
  <w:style w:type="paragraph" w:customStyle="1" w:styleId="LGASubHead1">
    <w:name w:val="LGA Sub Head1"/>
    <w:basedOn w:val="MainText"/>
    <w:next w:val="MainText"/>
    <w:rsid w:val="00F7058B"/>
    <w:pPr>
      <w:spacing w:after="120" w:line="240" w:lineRule="auto"/>
    </w:pPr>
    <w:rPr>
      <w:b/>
      <w:sz w:val="28"/>
    </w:rPr>
  </w:style>
  <w:style w:type="paragraph" w:styleId="Header">
    <w:name w:val="header"/>
    <w:basedOn w:val="Normal"/>
    <w:link w:val="HeaderChar"/>
    <w:uiPriority w:val="99"/>
    <w:unhideWhenUsed/>
    <w:rsid w:val="00F7058B"/>
    <w:pPr>
      <w:tabs>
        <w:tab w:val="center" w:pos="4513"/>
        <w:tab w:val="right" w:pos="9026"/>
      </w:tabs>
    </w:pPr>
  </w:style>
  <w:style w:type="character" w:customStyle="1" w:styleId="HeaderChar">
    <w:name w:val="Header Char"/>
    <w:basedOn w:val="DefaultParagraphFont"/>
    <w:link w:val="Header"/>
    <w:uiPriority w:val="99"/>
    <w:rsid w:val="00F7058B"/>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F7058B"/>
    <w:pPr>
      <w:tabs>
        <w:tab w:val="center" w:pos="4513"/>
        <w:tab w:val="right" w:pos="9026"/>
      </w:tabs>
    </w:pPr>
  </w:style>
  <w:style w:type="character" w:customStyle="1" w:styleId="FooterChar">
    <w:name w:val="Footer Char"/>
    <w:basedOn w:val="DefaultParagraphFont"/>
    <w:link w:val="Footer"/>
    <w:uiPriority w:val="99"/>
    <w:rsid w:val="00F7058B"/>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F7058B"/>
    <w:rPr>
      <w:rFonts w:ascii="Tahoma" w:hAnsi="Tahoma" w:cs="Tahoma"/>
      <w:sz w:val="16"/>
      <w:szCs w:val="16"/>
    </w:rPr>
  </w:style>
  <w:style w:type="character" w:customStyle="1" w:styleId="BalloonTextChar">
    <w:name w:val="Balloon Text Char"/>
    <w:basedOn w:val="DefaultParagraphFont"/>
    <w:link w:val="BalloonText"/>
    <w:uiPriority w:val="99"/>
    <w:semiHidden/>
    <w:rsid w:val="00F7058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0663">
      <w:bodyDiv w:val="1"/>
      <w:marLeft w:val="0"/>
      <w:marRight w:val="0"/>
      <w:marTop w:val="0"/>
      <w:marBottom w:val="0"/>
      <w:divBdr>
        <w:top w:val="none" w:sz="0" w:space="0" w:color="auto"/>
        <w:left w:val="none" w:sz="0" w:space="0" w:color="auto"/>
        <w:bottom w:val="none" w:sz="0" w:space="0" w:color="auto"/>
        <w:right w:val="none" w:sz="0" w:space="0" w:color="auto"/>
      </w:divBdr>
    </w:div>
    <w:div w:id="84157476">
      <w:bodyDiv w:val="1"/>
      <w:marLeft w:val="0"/>
      <w:marRight w:val="0"/>
      <w:marTop w:val="0"/>
      <w:marBottom w:val="0"/>
      <w:divBdr>
        <w:top w:val="none" w:sz="0" w:space="0" w:color="auto"/>
        <w:left w:val="none" w:sz="0" w:space="0" w:color="auto"/>
        <w:bottom w:val="none" w:sz="0" w:space="0" w:color="auto"/>
        <w:right w:val="none" w:sz="0" w:space="0" w:color="auto"/>
      </w:divBdr>
    </w:div>
    <w:div w:id="917178425">
      <w:bodyDiv w:val="1"/>
      <w:marLeft w:val="0"/>
      <w:marRight w:val="0"/>
      <w:marTop w:val="0"/>
      <w:marBottom w:val="0"/>
      <w:divBdr>
        <w:top w:val="none" w:sz="0" w:space="0" w:color="auto"/>
        <w:left w:val="none" w:sz="0" w:space="0" w:color="auto"/>
        <w:bottom w:val="none" w:sz="0" w:space="0" w:color="auto"/>
        <w:right w:val="none" w:sz="0" w:space="0" w:color="auto"/>
      </w:divBdr>
    </w:div>
    <w:div w:id="1224220696">
      <w:bodyDiv w:val="1"/>
      <w:marLeft w:val="0"/>
      <w:marRight w:val="0"/>
      <w:marTop w:val="0"/>
      <w:marBottom w:val="0"/>
      <w:divBdr>
        <w:top w:val="none" w:sz="0" w:space="0" w:color="auto"/>
        <w:left w:val="none" w:sz="0" w:space="0" w:color="auto"/>
        <w:bottom w:val="none" w:sz="0" w:space="0" w:color="auto"/>
        <w:right w:val="none" w:sz="0" w:space="0" w:color="auto"/>
      </w:divBdr>
    </w:div>
    <w:div w:id="1380125017">
      <w:bodyDiv w:val="1"/>
      <w:marLeft w:val="0"/>
      <w:marRight w:val="0"/>
      <w:marTop w:val="0"/>
      <w:marBottom w:val="0"/>
      <w:divBdr>
        <w:top w:val="none" w:sz="0" w:space="0" w:color="auto"/>
        <w:left w:val="none" w:sz="0" w:space="0" w:color="auto"/>
        <w:bottom w:val="none" w:sz="0" w:space="0" w:color="auto"/>
        <w:right w:val="none" w:sz="0" w:space="0" w:color="auto"/>
      </w:divBdr>
    </w:div>
    <w:div w:id="1447893722">
      <w:bodyDiv w:val="1"/>
      <w:marLeft w:val="0"/>
      <w:marRight w:val="0"/>
      <w:marTop w:val="0"/>
      <w:marBottom w:val="0"/>
      <w:divBdr>
        <w:top w:val="none" w:sz="0" w:space="0" w:color="auto"/>
        <w:left w:val="none" w:sz="0" w:space="0" w:color="auto"/>
        <w:bottom w:val="none" w:sz="0" w:space="0" w:color="auto"/>
        <w:right w:val="none" w:sz="0" w:space="0" w:color="auto"/>
      </w:divBdr>
    </w:div>
    <w:div w:id="20074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n.hughes@local.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arliament.uk/documents/commons-vote-office/December%202014/18%20December/6.%20DCLG-sustainable-drainage-system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5DC1DF097BB4D918DDFF0A7088608" ma:contentTypeVersion="4" ma:contentTypeDescription="Create a new document." ma:contentTypeScope="" ma:versionID="60716c4d319dca60191d015ba783307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3222-5563-4E02-A4D0-AF01479CE7B8}">
  <ds:schemaRefs>
    <ds:schemaRef ds:uri="1c8a0e75-f4bc-4eb4-8ed0-578eaea9e1ca"/>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purl.org/dc/terms/"/>
    <ds:schemaRef ds:uri="c8febe6a-14d9-43ab-83c3-c48f478fa47c"/>
  </ds:schemaRefs>
</ds:datastoreItem>
</file>

<file path=customXml/itemProps2.xml><?xml version="1.0" encoding="utf-8"?>
<ds:datastoreItem xmlns:ds="http://schemas.openxmlformats.org/officeDocument/2006/customXml" ds:itemID="{BA8CA058-E924-4E72-91BF-51DCF8F42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B7425-799B-4DAC-8545-A9331FCB46DF}">
  <ds:schemaRefs>
    <ds:schemaRef ds:uri="http://schemas.microsoft.com/sharepoint/v3/contenttype/forms"/>
  </ds:schemaRefs>
</ds:datastoreItem>
</file>

<file path=customXml/itemProps4.xml><?xml version="1.0" encoding="utf-8"?>
<ds:datastoreItem xmlns:ds="http://schemas.openxmlformats.org/officeDocument/2006/customXml" ds:itemID="{654ADC51-4A3D-4ADF-A3E2-D07C9787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Goodchild</dc:creator>
  <cp:lastModifiedBy>Frances Marshall</cp:lastModifiedBy>
  <cp:revision>4</cp:revision>
  <cp:lastPrinted>2015-05-27T15:18:00Z</cp:lastPrinted>
  <dcterms:created xsi:type="dcterms:W3CDTF">2015-09-07T12:18:00Z</dcterms:created>
  <dcterms:modified xsi:type="dcterms:W3CDTF">2015-09-10T12:36:00Z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0x0101005A65DC1DF097BB4D918DDFF0A7088608</vt:lpwstr>
  </property>
</Properties>
</file>